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drawing>
          <wp:inline xmlns:a="http://schemas.openxmlformats.org/drawingml/2006/main" xmlns:pic="http://schemas.openxmlformats.org/drawingml/2006/picture">
            <wp:extent cx="5943600" cy="1560195"/>
            <wp:docPr id="1" name="Picture 1"/>
            <wp:cNvGraphicFramePr>
              <a:graphicFrameLocks noChangeAspect="1"/>
            </wp:cNvGraphicFramePr>
            <a:graphic>
              <a:graphicData uri="http://schemas.openxmlformats.org/drawingml/2006/picture">
                <pic:pic>
                  <pic:nvPicPr>
                    <pic:cNvPr id="0" name="skimlet_banner.png"/>
                    <pic:cNvPicPr/>
                  </pic:nvPicPr>
                  <pic:blipFill>
                    <a:blip r:embed="rId9"/>
                    <a:stretch>
                      <a:fillRect/>
                    </a:stretch>
                  </pic:blipFill>
                  <pic:spPr>
                    <a:xfrm>
                      <a:off x="0" y="0"/>
                      <a:ext cx="5943600" cy="1560195"/>
                    </a:xfrm>
                    <a:prstGeom prst="rect"/>
                  </pic:spPr>
                </pic:pic>
              </a:graphicData>
            </a:graphic>
          </wp:inline>
        </w:drawing>
      </w:r>
    </w:p>
    <w:p/>
    <w:tbl>
      <w:tblPr>
        <w:tblW w:type="auto" w:w="0"/>
        <w:jc w:val="center"/>
        <w:tblLook w:firstColumn="1" w:firstRow="1" w:lastColumn="0" w:lastRow="0" w:noHBand="0" w:noVBand="1" w:val="04A0"/>
      </w:tblPr>
      <w:tblGrid>
        <w:gridCol w:w="4680"/>
        <w:gridCol w:w="4680"/>
      </w:tblGrid>
      <w:tr>
        <w:tc>
          <w:tcPr>
            <w:tcW w:type="dxa" w:w="4680"/>
          </w:tcPr>
          <w:p>
            <w:pPr>
              <w:jc w:val="right"/>
            </w:pPr>
            <w:r>
              <w:drawing>
                <wp:inline xmlns:a="http://schemas.openxmlformats.org/drawingml/2006/main" xmlns:pic="http://schemas.openxmlformats.org/drawingml/2006/picture">
                  <wp:extent cx="640080" cy="640080"/>
                  <wp:docPr id="2" name="Picture 2"/>
                  <wp:cNvGraphicFramePr>
                    <a:graphicFrameLocks noChangeAspect="1"/>
                  </wp:cNvGraphicFramePr>
                  <a:graphic>
                    <a:graphicData uri="http://schemas.openxmlformats.org/drawingml/2006/picture">
                      <pic:pic>
                        <pic:nvPicPr>
                          <pic:cNvPr id="0" name="skimlet_megaphone.png"/>
                          <pic:cNvPicPr/>
                        </pic:nvPicPr>
                        <pic:blipFill>
                          <a:blip r:embed="rId10"/>
                          <a:stretch>
                            <a:fillRect/>
                          </a:stretch>
                        </pic:blipFill>
                        <pic:spPr>
                          <a:xfrm>
                            <a:off x="0" y="0"/>
                            <a:ext cx="640080" cy="640080"/>
                          </a:xfrm>
                          <a:prstGeom prst="rect"/>
                        </pic:spPr>
                      </pic:pic>
                    </a:graphicData>
                  </a:graphic>
                </wp:inline>
              </w:drawing>
            </w:r>
          </w:p>
        </w:tc>
        <w:tc>
          <w:tcPr>
            <w:tcW w:type="dxa" w:w="4680"/>
          </w:tcPr>
          <w:p>
            <w:pPr>
              <w:jc w:val="left"/>
            </w:pPr>
            <w:r>
              <w:rPr>
                <w:b/>
                <w:sz w:val="48"/>
              </w:rPr>
              <w:t>Advertise With Us</w:t>
            </w:r>
          </w:p>
          <w:p>
            <w:r>
              <w:rPr>
                <w:color w:val="5A5A5A"/>
                <w:sz w:val="24"/>
              </w:rPr>
              <w:t>Skimlet.com</w:t>
            </w:r>
          </w:p>
        </w:tc>
      </w:tr>
    </w:tbl>
    <w:p/>
    <w:p>
      <w:pPr>
        <w:spacing w:after="120"/>
      </w:pPr>
      <w:r>
        <w:t>Skimlet is a multi-category online publication covering lifestyle, tech, business, home, food, travel, and more. We offer flexible advertising and sponsorship options to match your goals.</w:t>
      </w:r>
    </w:p>
    <w:p>
      <w:pPr>
        <w:pStyle w:val="Heading2"/>
      </w:pPr>
      <w:r>
        <w:t>Why advertise on Skimlet</w:t>
      </w:r>
    </w:p>
    <w:p>
      <w:pPr>
        <w:spacing w:after="80"/>
      </w:pPr>
      <w:r>
        <w:t>Skimlet publishes across multiple categories, giving brands the ability to align with specific topics or run sitewide campaigns.</w:t>
      </w:r>
    </w:p>
    <w:p>
      <w:r>
        <w:t>Core content categories include:</w:t>
      </w:r>
    </w:p>
    <w:p>
      <w:pPr>
        <w:pStyle w:val="ListBullet"/>
        <w:spacing w:after="0"/>
      </w:pPr>
      <w:r>
        <w:t>Drive, Sail &amp; Fly</w:t>
      </w:r>
    </w:p>
    <w:p>
      <w:pPr>
        <w:pStyle w:val="ListBullet"/>
        <w:spacing w:after="0"/>
      </w:pPr>
      <w:r>
        <w:t>Ecommerce</w:t>
      </w:r>
    </w:p>
    <w:p>
      <w:pPr>
        <w:pStyle w:val="ListBullet"/>
        <w:spacing w:after="0"/>
      </w:pPr>
      <w:r>
        <w:t>Fashion</w:t>
      </w:r>
    </w:p>
    <w:p>
      <w:pPr>
        <w:pStyle w:val="ListBullet"/>
        <w:spacing w:after="0"/>
      </w:pPr>
      <w:r>
        <w:t>Food &amp; Drink</w:t>
      </w:r>
    </w:p>
    <w:p>
      <w:pPr>
        <w:pStyle w:val="ListBullet"/>
        <w:spacing w:after="0"/>
      </w:pPr>
      <w:r>
        <w:t>Homes &amp; Gardens</w:t>
      </w:r>
    </w:p>
    <w:p>
      <w:pPr>
        <w:pStyle w:val="ListBullet"/>
        <w:spacing w:after="0"/>
      </w:pPr>
      <w:r>
        <w:t>News &amp; Sports</w:t>
      </w:r>
    </w:p>
    <w:p>
      <w:pPr>
        <w:pStyle w:val="ListBullet"/>
        <w:spacing w:after="0"/>
      </w:pPr>
      <w:r>
        <w:t>Softwares</w:t>
      </w:r>
    </w:p>
    <w:p>
      <w:pPr>
        <w:pStyle w:val="ListBullet"/>
        <w:spacing w:after="0"/>
      </w:pPr>
      <w:r>
        <w:t>Style &amp; Beauty</w:t>
      </w:r>
    </w:p>
    <w:p>
      <w:pPr>
        <w:pStyle w:val="ListBullet"/>
        <w:spacing w:after="0"/>
      </w:pPr>
      <w:r>
        <w:t>Travel</w:t>
      </w:r>
    </w:p>
    <w:p/>
    <w:p>
      <w:pPr>
        <w:pStyle w:val="Heading2"/>
      </w:pPr>
      <w:r>
        <w:t>Advertising opportunities</w:t>
      </w:r>
    </w:p>
    <w:p>
      <w:pPr>
        <w:pStyle w:val="ListBullet"/>
        <w:spacing w:after="40"/>
      </w:pPr>
      <w:r>
        <w:rPr>
          <w:b/>
        </w:rPr>
        <w:t xml:space="preserve">Display advertising — </w:t>
      </w:r>
      <w:r>
        <w:t>Standard banner units on homepage, category pages, and article pages (where available).</w:t>
      </w:r>
    </w:p>
    <w:p>
      <w:pPr>
        <w:pStyle w:val="ListBullet"/>
        <w:spacing w:after="40"/>
      </w:pPr>
      <w:r>
        <w:rPr>
          <w:b/>
        </w:rPr>
        <w:t xml:space="preserve">Sponsored content — </w:t>
      </w:r>
      <w:r>
        <w:t>Sponsored article, product spotlight, or brand story (clearly labeled as sponsored).</w:t>
      </w:r>
    </w:p>
    <w:p>
      <w:pPr>
        <w:pStyle w:val="ListBullet"/>
        <w:spacing w:after="40"/>
      </w:pPr>
      <w:r>
        <w:rPr>
          <w:b/>
        </w:rPr>
        <w:t xml:space="preserve">Category sponsorships — </w:t>
      </w:r>
      <w:r>
        <w:t>Sponsor a specific vertical (for example, Travel or Food &amp; Drink).</w:t>
      </w:r>
    </w:p>
    <w:p>
      <w:pPr>
        <w:pStyle w:val="ListBullet"/>
        <w:spacing w:after="40"/>
      </w:pPr>
      <w:r>
        <w:rPr>
          <w:b/>
        </w:rPr>
        <w:t xml:space="preserve">Newsletter sponsorships — </w:t>
      </w:r>
      <w:r>
        <w:t>Sponsor newsletter placements (where available) to reach readers in their inbox.</w:t>
      </w:r>
    </w:p>
    <w:p/>
    <w:p>
      <w:pPr>
        <w:pStyle w:val="Heading2"/>
      </w:pPr>
      <w:r>
        <w:t>Optional creative specs</w:t>
      </w:r>
    </w:p>
    <w:p>
      <w:r>
        <w:t>Common web formats are listed below. Share your dimensions and we will confirm fit.</w:t>
      </w:r>
    </w:p>
    <w:tbl>
      <w:tblPr>
        <w:tblStyle w:val="TableGrid"/>
        <w:tblW w:type="auto" w:w="0"/>
        <w:tblLook w:firstColumn="1" w:firstRow="1" w:lastColumn="0" w:lastRow="0" w:noHBand="0" w:noVBand="1" w:val="04A0"/>
      </w:tblPr>
      <w:tblGrid>
        <w:gridCol w:w="4680"/>
        <w:gridCol w:w="4680"/>
      </w:tblGrid>
      <w:tr>
        <w:tc>
          <w:tcPr>
            <w:tcW w:type="dxa" w:w="4680"/>
          </w:tcPr>
          <w:p>
            <w:r>
              <w:rPr>
                <w:sz w:val="20"/>
              </w:rPr>
              <w:t>Format / Size</w:t>
            </w:r>
          </w:p>
        </w:tc>
        <w:tc>
          <w:tcPr>
            <w:tcW w:type="dxa" w:w="4680"/>
          </w:tcPr>
          <w:p>
            <w:r>
              <w:rPr>
                <w:sz w:val="20"/>
              </w:rPr>
              <w:t>Notes</w:t>
            </w:r>
          </w:p>
        </w:tc>
      </w:tr>
      <w:tr>
        <w:tc>
          <w:tcPr>
            <w:tcW w:type="dxa" w:w="4680"/>
          </w:tcPr>
          <w:p>
            <w:r>
              <w:rPr>
                <w:sz w:val="20"/>
              </w:rPr>
              <w:t>300 x 250 (Medium Rectangle)</w:t>
            </w:r>
          </w:p>
        </w:tc>
        <w:tc>
          <w:tcPr>
            <w:tcW w:type="dxa" w:w="4680"/>
          </w:tcPr>
          <w:p>
            <w:r>
              <w:rPr>
                <w:sz w:val="20"/>
              </w:rPr>
              <w:t>Common sidebar/in-content unit.</w:t>
            </w:r>
          </w:p>
        </w:tc>
      </w:tr>
      <w:tr>
        <w:tc>
          <w:tcPr>
            <w:tcW w:type="dxa" w:w="4680"/>
          </w:tcPr>
          <w:p>
            <w:r>
              <w:rPr>
                <w:sz w:val="20"/>
              </w:rPr>
              <w:t>728 x 90 (Leaderboard)</w:t>
            </w:r>
          </w:p>
        </w:tc>
        <w:tc>
          <w:tcPr>
            <w:tcW w:type="dxa" w:w="4680"/>
          </w:tcPr>
          <w:p>
            <w:r>
              <w:rPr>
                <w:sz w:val="20"/>
              </w:rPr>
              <w:t>Often used near the top on desktop.</w:t>
            </w:r>
          </w:p>
        </w:tc>
      </w:tr>
      <w:tr>
        <w:tc>
          <w:tcPr>
            <w:tcW w:type="dxa" w:w="4680"/>
          </w:tcPr>
          <w:p>
            <w:r>
              <w:rPr>
                <w:sz w:val="20"/>
              </w:rPr>
              <w:t>160 x 600 (Wide Skyscraper)</w:t>
            </w:r>
          </w:p>
        </w:tc>
        <w:tc>
          <w:tcPr>
            <w:tcW w:type="dxa" w:w="4680"/>
          </w:tcPr>
          <w:p>
            <w:r>
              <w:rPr>
                <w:sz w:val="20"/>
              </w:rPr>
              <w:t>Sidebar unit for desktop layouts.</w:t>
            </w:r>
          </w:p>
        </w:tc>
      </w:tr>
      <w:tr>
        <w:tc>
          <w:tcPr>
            <w:tcW w:type="dxa" w:w="4680"/>
          </w:tcPr>
          <w:p>
            <w:r>
              <w:rPr>
                <w:sz w:val="20"/>
              </w:rPr>
              <w:t>970 x 250 (Billboard)</w:t>
            </w:r>
          </w:p>
        </w:tc>
        <w:tc>
          <w:tcPr>
            <w:tcW w:type="dxa" w:w="4680"/>
          </w:tcPr>
          <w:p>
            <w:r>
              <w:rPr>
                <w:sz w:val="20"/>
              </w:rPr>
              <w:t>Large, high-impact placement.</w:t>
            </w:r>
          </w:p>
        </w:tc>
      </w:tr>
      <w:tr>
        <w:tc>
          <w:tcPr>
            <w:tcW w:type="dxa" w:w="4680"/>
          </w:tcPr>
          <w:p>
            <w:r>
              <w:rPr>
                <w:sz w:val="20"/>
              </w:rPr>
              <w:t>Responsive unit</w:t>
            </w:r>
          </w:p>
        </w:tc>
        <w:tc>
          <w:tcPr>
            <w:tcW w:type="dxa" w:w="4680"/>
          </w:tcPr>
          <w:p>
            <w:r>
              <w:rPr>
                <w:sz w:val="20"/>
              </w:rPr>
              <w:t>Serves best-fit sizes by device.</w:t>
            </w:r>
          </w:p>
        </w:tc>
      </w:tr>
    </w:tbl>
    <w:p/>
    <w:p>
      <w:pPr>
        <w:pStyle w:val="Heading2"/>
      </w:pPr>
      <w:r>
        <w:t>Best fit for</w:t>
      </w:r>
    </w:p>
    <w:p>
      <w:pPr>
        <w:pStyle w:val="ListBullet"/>
      </w:pPr>
      <w:r>
        <w:t>Brands launching new products or seasonal campaigns</w:t>
      </w:r>
    </w:p>
    <w:p>
      <w:pPr>
        <w:pStyle w:val="ListBullet"/>
      </w:pPr>
      <w:r>
        <w:t>Ecommerce and consumer products</w:t>
      </w:r>
    </w:p>
    <w:p>
      <w:pPr>
        <w:pStyle w:val="ListBullet"/>
      </w:pPr>
      <w:r>
        <w:t>Travel, lifestyle, home, food, beauty, and tech services</w:t>
      </w:r>
    </w:p>
    <w:p/>
    <w:p>
      <w:pPr>
        <w:pStyle w:val="Heading2"/>
      </w:pPr>
      <w:r>
        <w:t>What we need to build a proposal</w:t>
      </w:r>
    </w:p>
    <w:p>
      <w:pPr>
        <w:pStyle w:val="ListNumber"/>
      </w:pPr>
      <w:r>
        <w:t>Brand name and website</w:t>
      </w:r>
    </w:p>
    <w:p>
      <w:pPr>
        <w:pStyle w:val="ListNumber"/>
      </w:pPr>
      <w:r>
        <w:t>Campaign goal (awareness, traffic, leads, or sales)</w:t>
      </w:r>
    </w:p>
    <w:p>
      <w:pPr>
        <w:pStyle w:val="ListNumber"/>
      </w:pPr>
      <w:r>
        <w:t>Preferred categories (or sitewide)</w:t>
      </w:r>
    </w:p>
    <w:p>
      <w:pPr>
        <w:pStyle w:val="ListNumber"/>
      </w:pPr>
      <w:r>
        <w:t>Timeline (start and end dates)</w:t>
      </w:r>
    </w:p>
    <w:p>
      <w:pPr>
        <w:pStyle w:val="ListNumber"/>
      </w:pPr>
      <w:r>
        <w:t>Budget range</w:t>
      </w:r>
    </w:p>
    <w:p>
      <w:pPr>
        <w:pStyle w:val="ListNumber"/>
      </w:pPr>
      <w:r>
        <w:t>Creative assets (if available) and landing URL(s)</w:t>
      </w:r>
    </w:p>
    <w:p/>
    <w:p>
      <w:pPr>
        <w:pStyle w:val="Heading2"/>
      </w:pPr>
      <w:r>
        <w:t>Get in touch</w:t>
      </w:r>
    </w:p>
    <w:p>
      <w:pPr>
        <w:pStyle w:val="ListBullet"/>
      </w:pPr>
      <w:r>
        <w:t>Email: [add your advertising email address here]</w:t>
      </w:r>
    </w:p>
    <w:p>
      <w:pPr>
        <w:pStyle w:val="ListBullet"/>
      </w:pPr>
      <w:r>
        <w:t>Website contact form: [add your contact page link here]</w:t>
      </w:r>
    </w:p>
    <w:p/>
    <w:p>
      <w:pPr>
        <w:pStyle w:val="Heading2"/>
      </w:pPr>
      <w:r>
        <w:t>Brand safety &amp; transparency</w:t>
      </w:r>
    </w:p>
    <w:p>
      <w:r>
        <w:t>We reserve the right to decline campaigns that are misleading, unsafe, or not aligned with our audience experience. Sponsored content should be labeled as sponsored, and affiliate links should follow standard disclosure practices.</w:t>
      </w:r>
    </w:p>
    <w:p>
      <w:r>
        <w:rPr>
          <w:i/>
          <w:color w:val="646464"/>
        </w:rPr>
        <w:t>Last updated: February 14, 2026</w:t>
      </w:r>
    </w:p>
    <w:sectPr w:rsidR="00FC693F" w:rsidRPr="0006063C"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